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2D6D6D" w14:textId="77777777" w:rsidR="000C0488" w:rsidRPr="000C0488" w:rsidRDefault="000C0488" w:rsidP="000C0488">
      <w:pPr>
        <w:widowControl/>
        <w:overflowPunct w:val="0"/>
        <w:adjustRightInd w:val="0"/>
        <w:spacing w:after="0" w:line="240" w:lineRule="auto"/>
        <w:ind w:rightChars="1" w:right="2"/>
        <w:jc w:val="center"/>
        <w:textAlignment w:val="baseline"/>
        <w:rPr>
          <w:rFonts w:ascii="Arial Narrow" w:eastAsia="宋体" w:hAnsi="Arial Narrow" w:cs="Arial"/>
          <w:color w:val="328228"/>
          <w:sz w:val="32"/>
          <w:szCs w:val="32"/>
        </w:rPr>
      </w:pPr>
      <w:r w:rsidRPr="000C0488">
        <w:rPr>
          <w:rFonts w:ascii="Arial Narrow" w:eastAsia="Adobe Myungjo Std M" w:hAnsi="Arial Narrow" w:cs="Arial"/>
          <w:color w:val="328228"/>
          <w:sz w:val="32"/>
          <w:szCs w:val="32"/>
        </w:rPr>
        <w:t>The International Symposium on Frontier in Chemical Engineering</w:t>
      </w:r>
      <w:r w:rsidRPr="000C0488">
        <w:rPr>
          <w:rFonts w:ascii="Arial Narrow" w:eastAsia="宋体" w:hAnsi="Arial Narrow" w:cs="Arial"/>
          <w:color w:val="328228"/>
          <w:sz w:val="32"/>
          <w:szCs w:val="32"/>
        </w:rPr>
        <w:t>:</w:t>
      </w:r>
    </w:p>
    <w:p w14:paraId="42CBA8D1" w14:textId="77777777" w:rsidR="000C0488" w:rsidRPr="00102787" w:rsidRDefault="000C0488" w:rsidP="000C0488">
      <w:pPr>
        <w:widowControl/>
        <w:overflowPunct w:val="0"/>
        <w:adjustRightInd w:val="0"/>
        <w:spacing w:after="0" w:line="240" w:lineRule="auto"/>
        <w:ind w:rightChars="1" w:right="2"/>
        <w:jc w:val="center"/>
        <w:textAlignment w:val="baseline"/>
        <w:rPr>
          <w:rFonts w:ascii="Arial Narrow" w:eastAsia="Adobe Myungjo Std M" w:hAnsi="Arial Narrow" w:cs="Arial"/>
          <w:color w:val="328228"/>
          <w:sz w:val="36"/>
          <w:szCs w:val="36"/>
        </w:rPr>
      </w:pPr>
      <w:r w:rsidRPr="008F11B6">
        <w:rPr>
          <w:rFonts w:ascii="Arial Narrow" w:eastAsia="Adobe Myungjo Std M" w:hAnsi="Arial Narrow" w:cs="Arial"/>
          <w:color w:val="328228"/>
          <w:sz w:val="36"/>
          <w:szCs w:val="36"/>
        </w:rPr>
        <w:t>The 17</w:t>
      </w:r>
      <w:r w:rsidRPr="008F11B6">
        <w:rPr>
          <w:rFonts w:ascii="Arial Narrow" w:eastAsia="Adobe Myungjo Std M" w:hAnsi="Arial Narrow" w:cs="Arial"/>
          <w:color w:val="328228"/>
          <w:sz w:val="36"/>
          <w:szCs w:val="36"/>
          <w:vertAlign w:val="superscript"/>
        </w:rPr>
        <w:t>th</w:t>
      </w:r>
      <w:r w:rsidRPr="008F11B6">
        <w:rPr>
          <w:rFonts w:ascii="Arial Narrow" w:eastAsia="Adobe Myungjo Std M" w:hAnsi="Arial Narrow" w:cs="Arial"/>
          <w:color w:val="328228"/>
          <w:sz w:val="36"/>
          <w:szCs w:val="36"/>
        </w:rPr>
        <w:t xml:space="preserve"> Annual Conference of the Global Chinese Chemical Engineering Scholars (GACCE-2025)</w:t>
      </w:r>
    </w:p>
    <w:p w14:paraId="1A1838F0" w14:textId="77777777" w:rsidR="000C0488" w:rsidRPr="00102787" w:rsidRDefault="000C0488" w:rsidP="000C0488">
      <w:pPr>
        <w:widowControl/>
        <w:overflowPunct w:val="0"/>
        <w:adjustRightInd w:val="0"/>
        <w:ind w:rightChars="1" w:right="2"/>
        <w:jc w:val="center"/>
        <w:textAlignment w:val="baseline"/>
        <w:rPr>
          <w:rFonts w:ascii="Arial Narrow" w:hAnsi="Arial Narrow" w:cs="Arial"/>
          <w:b/>
          <w:bCs/>
          <w:color w:val="328228"/>
          <w:sz w:val="28"/>
          <w:szCs w:val="28"/>
        </w:rPr>
      </w:pPr>
      <w:r w:rsidRPr="00102787">
        <w:rPr>
          <w:rFonts w:ascii="Arial Narrow" w:hAnsi="Arial Narrow" w:cs="Arial"/>
          <w:b/>
          <w:bCs/>
          <w:color w:val="328228"/>
          <w:sz w:val="28"/>
          <w:szCs w:val="28"/>
        </w:rPr>
        <w:t>Queenstown and Auckland</w:t>
      </w:r>
      <w:r>
        <w:rPr>
          <w:rFonts w:ascii="Arial Narrow" w:hAnsi="Arial Narrow" w:cs="Arial"/>
          <w:b/>
          <w:bCs/>
          <w:color w:val="328228"/>
          <w:sz w:val="28"/>
          <w:szCs w:val="28"/>
        </w:rPr>
        <w:t xml:space="preserve"> </w:t>
      </w:r>
      <w:r w:rsidRPr="008F11B6">
        <w:rPr>
          <w:rFonts w:ascii="Wingdings" w:eastAsia="Adobe Myungjo Std M" w:hAnsi="Wingdings"/>
          <w:color w:val="328228"/>
          <w:sz w:val="28"/>
          <w:szCs w:val="28"/>
        </w:rPr>
        <w:t></w:t>
      </w:r>
      <w:r w:rsidRPr="00102787">
        <w:rPr>
          <w:rFonts w:ascii="Arial Narrow" w:hAnsi="Arial Narrow" w:cs="Arial"/>
          <w:b/>
          <w:bCs/>
          <w:color w:val="328228"/>
          <w:sz w:val="28"/>
          <w:szCs w:val="28"/>
        </w:rPr>
        <w:t xml:space="preserve"> New Zealand </w:t>
      </w:r>
      <w:r w:rsidRPr="008F11B6">
        <w:rPr>
          <w:rFonts w:ascii="Wingdings" w:eastAsia="Adobe Myungjo Std M" w:hAnsi="Wingdings"/>
          <w:color w:val="328228"/>
          <w:sz w:val="28"/>
          <w:szCs w:val="28"/>
        </w:rPr>
        <w:t></w:t>
      </w:r>
      <w:r w:rsidRPr="00102787">
        <w:rPr>
          <w:rFonts w:ascii="Arial Narrow" w:hAnsi="Arial Narrow" w:cs="Arial"/>
          <w:b/>
          <w:bCs/>
          <w:color w:val="328228"/>
          <w:sz w:val="28"/>
          <w:szCs w:val="28"/>
        </w:rPr>
        <w:t xml:space="preserve"> </w:t>
      </w:r>
      <w:r>
        <w:rPr>
          <w:rFonts w:ascii="Arial Narrow" w:hAnsi="Arial Narrow" w:cs="Arial" w:hint="eastAsia"/>
          <w:b/>
          <w:bCs/>
          <w:color w:val="328228"/>
          <w:sz w:val="28"/>
          <w:szCs w:val="28"/>
        </w:rPr>
        <w:t>Aug</w:t>
      </w:r>
      <w:r>
        <w:rPr>
          <w:rFonts w:ascii="Arial Narrow" w:hAnsi="Arial Narrow" w:cs="Arial"/>
          <w:b/>
          <w:bCs/>
          <w:color w:val="328228"/>
          <w:sz w:val="28"/>
          <w:szCs w:val="28"/>
        </w:rPr>
        <w:t>.</w:t>
      </w:r>
      <w:r>
        <w:rPr>
          <w:rFonts w:ascii="Arial Narrow" w:hAnsi="Arial Narrow" w:cs="Arial" w:hint="eastAsia"/>
          <w:b/>
          <w:bCs/>
          <w:color w:val="328228"/>
          <w:sz w:val="28"/>
          <w:szCs w:val="28"/>
        </w:rPr>
        <w:t xml:space="preserve"> 13-18,2025</w:t>
      </w:r>
    </w:p>
    <w:p w14:paraId="5AAAF6F2" w14:textId="77777777" w:rsidR="004A20C3" w:rsidRDefault="00000000">
      <w:pPr>
        <w:jc w:val="center"/>
        <w:rPr>
          <w:rFonts w:ascii="Verdana" w:hAnsi="Verdana"/>
          <w:b/>
          <w:bCs/>
          <w:sz w:val="30"/>
          <w:szCs w:val="30"/>
        </w:rPr>
      </w:pPr>
      <w:r w:rsidRPr="000C0488">
        <w:rPr>
          <w:rFonts w:ascii="Verdana" w:hAnsi="Verdana"/>
          <w:b/>
          <w:bCs/>
          <w:sz w:val="30"/>
          <w:szCs w:val="30"/>
        </w:rPr>
        <w:t>Registration Guideline for Internal Participants</w:t>
      </w:r>
    </w:p>
    <w:p w14:paraId="59D0E8A4" w14:textId="335952C6" w:rsidR="000C0488" w:rsidRPr="000C0488" w:rsidRDefault="000C0488" w:rsidP="000C0488">
      <w:pPr>
        <w:rPr>
          <w:color w:val="FF0000"/>
        </w:rPr>
      </w:pPr>
      <w:r w:rsidRPr="000C0488">
        <w:rPr>
          <w:color w:val="FF0000"/>
        </w:rPr>
        <w:t>If you</w:t>
      </w:r>
      <w:r w:rsidRPr="000C0488">
        <w:rPr>
          <w:color w:val="FF0000"/>
          <w:u w:val="single"/>
        </w:rPr>
        <w:t xml:space="preserve"> </w:t>
      </w:r>
      <w:r w:rsidRPr="000C0488">
        <w:rPr>
          <w:rFonts w:hint="eastAsia"/>
          <w:color w:val="FF0000"/>
          <w:u w:val="single"/>
        </w:rPr>
        <w:t>DON</w:t>
      </w:r>
      <w:r w:rsidRPr="000C0488">
        <w:rPr>
          <w:color w:val="FF0000"/>
          <w:u w:val="single"/>
        </w:rPr>
        <w:t>’T</w:t>
      </w:r>
      <w:r w:rsidRPr="000C0488">
        <w:rPr>
          <w:color w:val="FF0000"/>
        </w:rPr>
        <w:t xml:space="preserve"> have a </w:t>
      </w:r>
      <w:r w:rsidRPr="000C0488">
        <w:rPr>
          <w:rFonts w:hint="eastAsia"/>
          <w:color w:val="FF0000"/>
        </w:rPr>
        <w:t>C</w:t>
      </w:r>
      <w:r w:rsidRPr="000C0488">
        <w:rPr>
          <w:color w:val="FF0000"/>
        </w:rPr>
        <w:t xml:space="preserve">hinese cell phone number, please use your </w:t>
      </w:r>
      <w:r w:rsidRPr="000C0488">
        <w:rPr>
          <w:color w:val="FF0000"/>
          <w:u w:val="single"/>
        </w:rPr>
        <w:t>email address</w:t>
      </w:r>
      <w:r w:rsidRPr="000C0488">
        <w:rPr>
          <w:color w:val="FF0000"/>
        </w:rPr>
        <w:t xml:space="preserve"> for New User Registration via the channel for "International Participants". </w:t>
      </w:r>
    </w:p>
    <w:p w14:paraId="4B60BAF3" w14:textId="4FFA9551" w:rsidR="000C0488" w:rsidRDefault="00000000" w:rsidP="000C0488">
      <w:pPr>
        <w:pStyle w:val="a9"/>
        <w:numPr>
          <w:ilvl w:val="0"/>
          <w:numId w:val="2"/>
        </w:numPr>
      </w:pPr>
      <w:r>
        <w:rPr>
          <w:rFonts w:hint="eastAsia"/>
        </w:rPr>
        <w:t xml:space="preserve">Click </w:t>
      </w:r>
      <w:hyperlink r:id="rId7" w:history="1">
        <w:r w:rsidR="000C0488" w:rsidRPr="00926C51">
          <w:rPr>
            <w:rStyle w:val="ac"/>
            <w:sz w:val="24"/>
          </w:rPr>
          <w:t>https://gacce2025.scimeeting.cn/</w:t>
        </w:r>
      </w:hyperlink>
      <w:r w:rsidR="000C0488">
        <w:rPr>
          <w:sz w:val="24"/>
        </w:rPr>
        <w:t xml:space="preserve"> </w:t>
      </w:r>
    </w:p>
    <w:p w14:paraId="6BD0966D" w14:textId="1156D61C" w:rsidR="004A20C3" w:rsidRDefault="00000000" w:rsidP="000C0488">
      <w:pPr>
        <w:pStyle w:val="a9"/>
        <w:numPr>
          <w:ilvl w:val="0"/>
          <w:numId w:val="2"/>
        </w:numPr>
      </w:pPr>
      <w:r>
        <w:rPr>
          <w:rFonts w:hint="eastAsia"/>
        </w:rPr>
        <w:t>Enter, select the conference registration button, and enter the conference information registration.</w:t>
      </w:r>
    </w:p>
    <w:p w14:paraId="5BCD757C" w14:textId="77777777" w:rsidR="004A20C3" w:rsidRDefault="00000000">
      <w:pPr>
        <w:jc w:val="center"/>
      </w:pPr>
      <w:r>
        <w:rPr>
          <w:rFonts w:hint="eastAsia"/>
          <w:noProof/>
        </w:rPr>
        <w:drawing>
          <wp:inline distT="0" distB="0" distL="114300" distR="114300" wp14:anchorId="1BB98A88" wp14:editId="2CF13804">
            <wp:extent cx="3240000" cy="2297208"/>
            <wp:effectExtent l="0" t="0" r="0" b="1905"/>
            <wp:docPr id="4" name="图片 4" descr="全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全图"/>
                    <pic:cNvPicPr>
                      <a:picLocks noChangeAspect="1"/>
                    </pic:cNvPicPr>
                  </pic:nvPicPr>
                  <pic:blipFill>
                    <a:blip r:embed="rId8"/>
                    <a:stretch>
                      <a:fillRect/>
                    </a:stretch>
                  </pic:blipFill>
                  <pic:spPr>
                    <a:xfrm>
                      <a:off x="0" y="0"/>
                      <a:ext cx="3240000" cy="2297208"/>
                    </a:xfrm>
                    <a:prstGeom prst="rect">
                      <a:avLst/>
                    </a:prstGeom>
                  </pic:spPr>
                </pic:pic>
              </a:graphicData>
            </a:graphic>
          </wp:inline>
        </w:drawing>
      </w:r>
    </w:p>
    <w:p w14:paraId="7420F68D" w14:textId="77777777" w:rsidR="004A20C3" w:rsidRDefault="00000000" w:rsidP="000C0488">
      <w:pPr>
        <w:pStyle w:val="a9"/>
        <w:numPr>
          <w:ilvl w:val="0"/>
          <w:numId w:val="2"/>
        </w:numPr>
      </w:pPr>
      <w:r>
        <w:rPr>
          <w:rFonts w:hint="eastAsia"/>
        </w:rPr>
        <w:t>On the account password login or email login interface, select "New User Registration" or "Login" to enter the information filling interface.</w:t>
      </w:r>
    </w:p>
    <w:p w14:paraId="2F9F7DA1" w14:textId="77777777" w:rsidR="004A20C3" w:rsidRDefault="00000000">
      <w:pPr>
        <w:jc w:val="center"/>
      </w:pPr>
      <w:r>
        <w:rPr>
          <w:noProof/>
        </w:rPr>
        <w:drawing>
          <wp:inline distT="0" distB="0" distL="114300" distR="114300" wp14:anchorId="1777AE38" wp14:editId="65636BA4">
            <wp:extent cx="3192780" cy="1863090"/>
            <wp:effectExtent l="0" t="0" r="7620" b="381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9"/>
                    <a:stretch>
                      <a:fillRect/>
                    </a:stretch>
                  </pic:blipFill>
                  <pic:spPr>
                    <a:xfrm>
                      <a:off x="0" y="0"/>
                      <a:ext cx="3192780" cy="1863090"/>
                    </a:xfrm>
                    <a:prstGeom prst="rect">
                      <a:avLst/>
                    </a:prstGeom>
                    <a:noFill/>
                    <a:ln>
                      <a:noFill/>
                    </a:ln>
                  </pic:spPr>
                </pic:pic>
              </a:graphicData>
            </a:graphic>
          </wp:inline>
        </w:drawing>
      </w:r>
    </w:p>
    <w:p w14:paraId="14A34D74" w14:textId="3BBAB728" w:rsidR="004A20C3" w:rsidRDefault="00000000" w:rsidP="000C0488">
      <w:pPr>
        <w:pStyle w:val="a9"/>
        <w:numPr>
          <w:ilvl w:val="0"/>
          <w:numId w:val="2"/>
        </w:numPr>
      </w:pPr>
      <w:r>
        <w:rPr>
          <w:rFonts w:hint="eastAsia"/>
        </w:rPr>
        <w:lastRenderedPageBreak/>
        <w:t>Follow the prompts on the page, fill in personal information, and click "Submit Now" after completing the information.</w:t>
      </w:r>
    </w:p>
    <w:p w14:paraId="7CE81E07" w14:textId="547BA451" w:rsidR="000C0488" w:rsidRDefault="000C0488" w:rsidP="000C0488">
      <w:r w:rsidRPr="000C0488">
        <w:rPr>
          <w:color w:val="FF0000"/>
        </w:rPr>
        <w:t>Note:</w:t>
      </w:r>
      <w:r>
        <w:t xml:space="preserve"> </w:t>
      </w:r>
      <w:r w:rsidRPr="000C0488">
        <w:rPr>
          <w:color w:val="FF0000"/>
        </w:rPr>
        <w:t>must</w:t>
      </w:r>
      <w:r>
        <w:t xml:space="preserve"> select </w:t>
      </w:r>
      <w:r w:rsidRPr="000C0488">
        <w:rPr>
          <w:color w:val="FF0000"/>
        </w:rPr>
        <w:t>oversea location</w:t>
      </w:r>
      <w:r>
        <w:t xml:space="preserve"> rather than China as your “Country/Region” when filling the registration otherwise the website will automatically redirect to Chinese version which requires a working Chinese cell phone number。</w:t>
      </w:r>
    </w:p>
    <w:p w14:paraId="57DF04F3" w14:textId="2098FE1F" w:rsidR="004A20C3" w:rsidRDefault="000C0488">
      <w:pPr>
        <w:jc w:val="center"/>
      </w:pPr>
      <w:r>
        <w:rPr>
          <w:noProof/>
          <w14:ligatures w14:val="none"/>
        </w:rPr>
        <mc:AlternateContent>
          <mc:Choice Requires="wps">
            <w:drawing>
              <wp:anchor distT="0" distB="0" distL="114300" distR="114300" simplePos="0" relativeHeight="251659264" behindDoc="0" locked="0" layoutInCell="1" allowOverlap="1" wp14:anchorId="2859A7BB" wp14:editId="63488EAE">
                <wp:simplePos x="0" y="0"/>
                <wp:positionH relativeFrom="column">
                  <wp:posOffset>833120</wp:posOffset>
                </wp:positionH>
                <wp:positionV relativeFrom="paragraph">
                  <wp:posOffset>554355</wp:posOffset>
                </wp:positionV>
                <wp:extent cx="1021080" cy="360680"/>
                <wp:effectExtent l="0" t="0" r="7620" b="7620"/>
                <wp:wrapNone/>
                <wp:docPr id="1365226214" name="圆角矩形 1"/>
                <wp:cNvGraphicFramePr/>
                <a:graphic xmlns:a="http://schemas.openxmlformats.org/drawingml/2006/main">
                  <a:graphicData uri="http://schemas.microsoft.com/office/word/2010/wordprocessingShape">
                    <wps:wsp>
                      <wps:cNvSpPr/>
                      <wps:spPr>
                        <a:xfrm>
                          <a:off x="0" y="0"/>
                          <a:ext cx="1021080" cy="360680"/>
                        </a:xfrm>
                        <a:prstGeom prst="round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CC69F1B" id="圆角矩形 1" o:spid="_x0000_s1026" style="position:absolute;margin-left:65.6pt;margin-top:43.65pt;width:80.4pt;height:28.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" filled="f" strokecolor="red" strokeweight="1pt">
                <v:stroke joinstyle="miter"/>
              </v:roundrect>
            </w:pict>
          </mc:Fallback>
        </mc:AlternateContent>
      </w:r>
      <w:r>
        <w:rPr>
          <w:noProof/>
        </w:rPr>
        <w:drawing>
          <wp:inline distT="0" distB="0" distL="114300" distR="114300" wp14:anchorId="32254F7E" wp14:editId="5C67513D">
            <wp:extent cx="3911600" cy="3365500"/>
            <wp:effectExtent l="0" t="0" r="12700" b="635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0"/>
                    <a:stretch>
                      <a:fillRect/>
                    </a:stretch>
                  </pic:blipFill>
                  <pic:spPr>
                    <a:xfrm>
                      <a:off x="0" y="0"/>
                      <a:ext cx="3911600" cy="3365500"/>
                    </a:xfrm>
                    <a:prstGeom prst="rect">
                      <a:avLst/>
                    </a:prstGeom>
                    <a:noFill/>
                    <a:ln>
                      <a:noFill/>
                    </a:ln>
                  </pic:spPr>
                </pic:pic>
              </a:graphicData>
            </a:graphic>
          </wp:inline>
        </w:drawing>
      </w:r>
    </w:p>
    <w:p w14:paraId="2FB7A430" w14:textId="316F3F11" w:rsidR="00AC5CDC" w:rsidRPr="00AC5CDC" w:rsidRDefault="00AC5CDC" w:rsidP="00AC5CDC">
      <w:pPr>
        <w:rPr>
          <w:color w:val="FF0000"/>
        </w:rPr>
      </w:pPr>
      <w:r w:rsidRPr="00AC5CDC">
        <w:rPr>
          <w:color w:val="FF0000"/>
        </w:rPr>
        <w:t>Note:</w:t>
      </w:r>
      <w:r>
        <w:rPr>
          <w:color w:val="FF0000"/>
        </w:rPr>
        <w:t xml:space="preserve"> If you select “Lecture” on the venue located in “Queenstown”, you will be supposed to participate the whole conferences in both venues (Queenstown and Auckland) and will be charged for the corresponding registration fee.</w:t>
      </w:r>
    </w:p>
    <w:p w14:paraId="21CDC5C1" w14:textId="772E0675" w:rsidR="004A20C3" w:rsidRDefault="00000000" w:rsidP="000C0488">
      <w:pPr>
        <w:pStyle w:val="a9"/>
        <w:numPr>
          <w:ilvl w:val="0"/>
          <w:numId w:val="2"/>
        </w:numPr>
      </w:pPr>
      <w:r>
        <w:rPr>
          <w:rFonts w:hint="eastAsia"/>
        </w:rPr>
        <w:t>After submitting the information, all registration information will be searchable under the "Personal Information" section.</w:t>
      </w:r>
    </w:p>
    <w:p w14:paraId="6E285108" w14:textId="77777777" w:rsidR="004A20C3" w:rsidRDefault="00000000">
      <w:pPr>
        <w:jc w:val="center"/>
      </w:pPr>
      <w:r>
        <w:rPr>
          <w:noProof/>
        </w:rPr>
        <w:drawing>
          <wp:inline distT="0" distB="0" distL="114300" distR="114300" wp14:anchorId="02A48168" wp14:editId="7C052A00">
            <wp:extent cx="5266690" cy="1957070"/>
            <wp:effectExtent l="0" t="0" r="10160" b="508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1"/>
                    <a:stretch>
                      <a:fillRect/>
                    </a:stretch>
                  </pic:blipFill>
                  <pic:spPr>
                    <a:xfrm>
                      <a:off x="0" y="0"/>
                      <a:ext cx="5266690" cy="1957070"/>
                    </a:xfrm>
                    <a:prstGeom prst="rect">
                      <a:avLst/>
                    </a:prstGeom>
                    <a:noFill/>
                    <a:ln>
                      <a:noFill/>
                    </a:ln>
                  </pic:spPr>
                </pic:pic>
              </a:graphicData>
            </a:graphic>
          </wp:inline>
        </w:drawing>
      </w:r>
    </w:p>
    <w:sectPr w:rsidR="004A20C3">
      <w:footerReference w:type="even" r:id="rId12"/>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D1327F" w14:textId="77777777" w:rsidR="008E3905" w:rsidRDefault="008E3905">
      <w:pPr>
        <w:spacing w:line="240" w:lineRule="auto"/>
      </w:pPr>
      <w:r>
        <w:separator/>
      </w:r>
    </w:p>
  </w:endnote>
  <w:endnote w:type="continuationSeparator" w:id="0">
    <w:p w14:paraId="2CE09352" w14:textId="77777777" w:rsidR="008E3905" w:rsidRDefault="008E39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dobe Myungjo Std M">
    <w:altName w:val="MS Mincho"/>
    <w:panose1 w:val="020B0604020202020204"/>
    <w:charset w:val="80"/>
    <w:family w:val="roman"/>
    <w:notTrueType/>
    <w:pitch w:val="variable"/>
    <w:sig w:usb0="800002A7" w:usb1="29D7FCFB" w:usb2="00000010" w:usb3="00000000" w:csb0="002A0005" w:csb1="00000000"/>
  </w:font>
  <w:font w:name="Wingdings">
    <w:panose1 w:val="05000000000000000000"/>
    <w:charset w:val="00"/>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0"/>
      </w:rPr>
      <w:id w:val="1215628968"/>
      <w:docPartObj>
        <w:docPartGallery w:val="Page Numbers (Bottom of Page)"/>
        <w:docPartUnique/>
      </w:docPartObj>
    </w:sdtPr>
    <w:sdtContent>
      <w:p w14:paraId="66FF02A5" w14:textId="2D5B5790" w:rsidR="000C0488" w:rsidRDefault="000C0488" w:rsidP="00FD504D">
        <w:pPr>
          <w:pStyle w:val="ae"/>
          <w:framePr w:wrap="none" w:vAnchor="text" w:hAnchor="margin" w:xAlign="center" w:y="1"/>
          <w:rPr>
            <w:rStyle w:val="af0"/>
          </w:rPr>
        </w:pPr>
        <w:r>
          <w:rPr>
            <w:rStyle w:val="af0"/>
          </w:rPr>
          <w:fldChar w:fldCharType="begin"/>
        </w:r>
        <w:r>
          <w:rPr>
            <w:rStyle w:val="af0"/>
          </w:rPr>
          <w:instrText xml:space="preserve"> PAGE </w:instrText>
        </w:r>
        <w:r>
          <w:rPr>
            <w:rStyle w:val="af0"/>
          </w:rPr>
          <w:fldChar w:fldCharType="end"/>
        </w:r>
      </w:p>
    </w:sdtContent>
  </w:sdt>
  <w:p w14:paraId="5BCD1DD9" w14:textId="77777777" w:rsidR="000C0488" w:rsidRDefault="000C0488">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0"/>
      </w:rPr>
      <w:id w:val="1340280373"/>
      <w:docPartObj>
        <w:docPartGallery w:val="Page Numbers (Bottom of Page)"/>
        <w:docPartUnique/>
      </w:docPartObj>
    </w:sdtPr>
    <w:sdtContent>
      <w:p w14:paraId="666285D5" w14:textId="68521CDE" w:rsidR="000C0488" w:rsidRDefault="000C0488" w:rsidP="00FD504D">
        <w:pPr>
          <w:pStyle w:val="ae"/>
          <w:framePr w:wrap="none" w:vAnchor="text" w:hAnchor="margin" w:xAlign="center" w:y="1"/>
          <w:rPr>
            <w:rStyle w:val="af0"/>
          </w:rPr>
        </w:pPr>
        <w:r>
          <w:rPr>
            <w:rStyle w:val="af0"/>
          </w:rPr>
          <w:fldChar w:fldCharType="begin"/>
        </w:r>
        <w:r>
          <w:rPr>
            <w:rStyle w:val="af0"/>
          </w:rPr>
          <w:instrText xml:space="preserve"> PAGE </w:instrText>
        </w:r>
        <w:r>
          <w:rPr>
            <w:rStyle w:val="af0"/>
          </w:rPr>
          <w:fldChar w:fldCharType="separate"/>
        </w:r>
        <w:r>
          <w:rPr>
            <w:rStyle w:val="af0"/>
            <w:noProof/>
          </w:rPr>
          <w:t>2</w:t>
        </w:r>
        <w:r>
          <w:rPr>
            <w:rStyle w:val="af0"/>
          </w:rPr>
          <w:fldChar w:fldCharType="end"/>
        </w:r>
      </w:p>
    </w:sdtContent>
  </w:sdt>
  <w:p w14:paraId="587D9FA6" w14:textId="77777777" w:rsidR="000C0488" w:rsidRDefault="000C0488">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0976F3" w14:textId="77777777" w:rsidR="008E3905" w:rsidRDefault="008E3905">
      <w:pPr>
        <w:spacing w:after="0"/>
      </w:pPr>
      <w:r>
        <w:separator/>
      </w:r>
    </w:p>
  </w:footnote>
  <w:footnote w:type="continuationSeparator" w:id="0">
    <w:p w14:paraId="09A0C156" w14:textId="77777777" w:rsidR="008E3905" w:rsidRDefault="008E390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9F15B21"/>
    <w:multiLevelType w:val="singleLevel"/>
    <w:tmpl w:val="D9F15B21"/>
    <w:lvl w:ilvl="0">
      <w:start w:val="2"/>
      <w:numFmt w:val="decimal"/>
      <w:suff w:val="space"/>
      <w:lvlText w:val="%1."/>
      <w:lvlJc w:val="left"/>
    </w:lvl>
  </w:abstractNum>
  <w:abstractNum w:abstractNumId="1" w15:restartNumberingAfterBreak="0">
    <w:nsid w:val="7BDD262D"/>
    <w:multiLevelType w:val="hybridMultilevel"/>
    <w:tmpl w:val="0E121F12"/>
    <w:lvl w:ilvl="0" w:tplc="91DC0B4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2042391595">
    <w:abstractNumId w:val="0"/>
  </w:num>
  <w:num w:numId="2" w16cid:durableId="4187221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C57"/>
    <w:rsid w:val="000C0488"/>
    <w:rsid w:val="003E4C57"/>
    <w:rsid w:val="004A20C3"/>
    <w:rsid w:val="008E3905"/>
    <w:rsid w:val="009F7AEF"/>
    <w:rsid w:val="00AC5CDC"/>
    <w:rsid w:val="00BC373A"/>
    <w:rsid w:val="00E26E99"/>
    <w:rsid w:val="381B1B26"/>
    <w:rsid w:val="39AB7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F28F7"/>
  <w15:docId w15:val="{80FD61FC-D4EF-9948-96B7-E8638E6BE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78" w:lineRule="auto"/>
    </w:pPr>
    <w:rPr>
      <w:kern w:val="2"/>
      <w:sz w:val="22"/>
      <w:szCs w:val="24"/>
      <w14:ligatures w14:val="standardContextual"/>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a5">
    <w:name w:val="Title"/>
    <w:basedOn w:val="a"/>
    <w:next w:val="a"/>
    <w:link w:val="a6"/>
    <w:uiPriority w:val="10"/>
    <w:qFormat/>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10">
    <w:name w:val="标题 1 字符"/>
    <w:basedOn w:val="a0"/>
    <w:link w:val="1"/>
    <w:uiPriority w:val="9"/>
    <w:qFormat/>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qFormat/>
    <w:rPr>
      <w:rFonts w:cstheme="majorBidi"/>
      <w:color w:val="0F4761" w:themeColor="accent1" w:themeShade="BF"/>
      <w:sz w:val="28"/>
      <w:szCs w:val="28"/>
    </w:rPr>
  </w:style>
  <w:style w:type="character" w:customStyle="1" w:styleId="50">
    <w:name w:val="标题 5 字符"/>
    <w:basedOn w:val="a0"/>
    <w:link w:val="5"/>
    <w:uiPriority w:val="9"/>
    <w:semiHidden/>
    <w:qFormat/>
    <w:rPr>
      <w:rFonts w:cstheme="majorBidi"/>
      <w:color w:val="0F4761" w:themeColor="accent1" w:themeShade="BF"/>
      <w:sz w:val="24"/>
    </w:rPr>
  </w:style>
  <w:style w:type="character" w:customStyle="1" w:styleId="60">
    <w:name w:val="标题 6 字符"/>
    <w:basedOn w:val="a0"/>
    <w:link w:val="6"/>
    <w:uiPriority w:val="9"/>
    <w:semiHidden/>
    <w:qFormat/>
    <w:rPr>
      <w:rFonts w:cstheme="majorBidi"/>
      <w:b/>
      <w:bCs/>
      <w:color w:val="0F4761" w:themeColor="accent1" w:themeShade="BF"/>
    </w:rPr>
  </w:style>
  <w:style w:type="character" w:customStyle="1" w:styleId="70">
    <w:name w:val="标题 7 字符"/>
    <w:basedOn w:val="a0"/>
    <w:link w:val="7"/>
    <w:uiPriority w:val="9"/>
    <w:semiHidden/>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6">
    <w:name w:val="标题 字符"/>
    <w:basedOn w:val="a0"/>
    <w:link w:val="a5"/>
    <w:uiPriority w:val="10"/>
    <w:rPr>
      <w:rFonts w:asciiTheme="majorHAnsi" w:eastAsiaTheme="majorEastAsia" w:hAnsiTheme="majorHAnsi" w:cstheme="majorBidi"/>
      <w:spacing w:val="-10"/>
      <w:kern w:val="28"/>
      <w:sz w:val="56"/>
      <w:szCs w:val="56"/>
    </w:rPr>
  </w:style>
  <w:style w:type="character" w:customStyle="1" w:styleId="a4">
    <w:name w:val="副标题 字符"/>
    <w:basedOn w:val="a0"/>
    <w:link w:val="a3"/>
    <w:uiPriority w:val="11"/>
    <w:qFormat/>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pPr>
      <w:spacing w:before="160"/>
      <w:jc w:val="center"/>
    </w:pPr>
    <w:rPr>
      <w:i/>
      <w:iCs/>
      <w:color w:val="404040" w:themeColor="text1" w:themeTint="BF"/>
    </w:rPr>
  </w:style>
  <w:style w:type="character" w:customStyle="1" w:styleId="a8">
    <w:name w:val="引用 字符"/>
    <w:basedOn w:val="a0"/>
    <w:link w:val="a7"/>
    <w:uiPriority w:val="29"/>
    <w:qFormat/>
    <w:rPr>
      <w:i/>
      <w:iCs/>
      <w:color w:val="404040" w:themeColor="text1" w:themeTint="BF"/>
    </w:rPr>
  </w:style>
  <w:style w:type="paragraph" w:styleId="a9">
    <w:name w:val="List Paragraph"/>
    <w:basedOn w:val="a"/>
    <w:uiPriority w:val="34"/>
    <w:qFormat/>
    <w:pPr>
      <w:ind w:left="720"/>
      <w:contextualSpacing/>
    </w:pPr>
  </w:style>
  <w:style w:type="character" w:customStyle="1" w:styleId="11">
    <w:name w:val="明显强调1"/>
    <w:basedOn w:val="a0"/>
    <w:uiPriority w:val="21"/>
    <w:qFormat/>
    <w:rPr>
      <w:i/>
      <w:iCs/>
      <w:color w:val="0F4761" w:themeColor="accent1" w:themeShade="BF"/>
    </w:rPr>
  </w:style>
  <w:style w:type="paragraph" w:styleId="aa">
    <w:name w:val="Intense Quote"/>
    <w:basedOn w:val="a"/>
    <w:next w:val="a"/>
    <w:link w:val="ab"/>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明显引用 字符"/>
    <w:basedOn w:val="a0"/>
    <w:link w:val="aa"/>
    <w:uiPriority w:val="30"/>
    <w:qFormat/>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character" w:styleId="ac">
    <w:name w:val="Hyperlink"/>
    <w:basedOn w:val="a0"/>
    <w:uiPriority w:val="99"/>
    <w:unhideWhenUsed/>
    <w:rsid w:val="000C0488"/>
    <w:rPr>
      <w:color w:val="467886" w:themeColor="hyperlink"/>
      <w:u w:val="single"/>
    </w:rPr>
  </w:style>
  <w:style w:type="character" w:styleId="ad">
    <w:name w:val="Unresolved Mention"/>
    <w:basedOn w:val="a0"/>
    <w:uiPriority w:val="99"/>
    <w:semiHidden/>
    <w:unhideWhenUsed/>
    <w:rsid w:val="000C0488"/>
    <w:rPr>
      <w:color w:val="605E5C"/>
      <w:shd w:val="clear" w:color="auto" w:fill="E1DFDD"/>
    </w:rPr>
  </w:style>
  <w:style w:type="paragraph" w:styleId="ae">
    <w:name w:val="footer"/>
    <w:basedOn w:val="a"/>
    <w:link w:val="af"/>
    <w:uiPriority w:val="99"/>
    <w:unhideWhenUsed/>
    <w:rsid w:val="000C0488"/>
    <w:pPr>
      <w:tabs>
        <w:tab w:val="center" w:pos="4153"/>
        <w:tab w:val="right" w:pos="8306"/>
      </w:tabs>
      <w:snapToGrid w:val="0"/>
      <w:spacing w:line="240" w:lineRule="auto"/>
    </w:pPr>
    <w:rPr>
      <w:sz w:val="18"/>
      <w:szCs w:val="18"/>
    </w:rPr>
  </w:style>
  <w:style w:type="character" w:customStyle="1" w:styleId="af">
    <w:name w:val="页脚 字符"/>
    <w:basedOn w:val="a0"/>
    <w:link w:val="ae"/>
    <w:uiPriority w:val="99"/>
    <w:rsid w:val="000C0488"/>
    <w:rPr>
      <w:kern w:val="2"/>
      <w:sz w:val="18"/>
      <w:szCs w:val="18"/>
      <w14:ligatures w14:val="standardContextual"/>
    </w:rPr>
  </w:style>
  <w:style w:type="character" w:styleId="af0">
    <w:name w:val="page number"/>
    <w:basedOn w:val="a0"/>
    <w:uiPriority w:val="99"/>
    <w:semiHidden/>
    <w:unhideWhenUsed/>
    <w:rsid w:val="000C0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gacce2025.scimeeting.c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217</Words>
  <Characters>1238</Characters>
  <Application>Microsoft Office Word</Application>
  <DocSecurity>0</DocSecurity>
  <Lines>10</Lines>
  <Paragraphs>2</Paragraphs>
  <ScaleCrop>false</ScaleCrop>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Yuanyuan Shao</dc:creator>
  <cp:lastModifiedBy>Yuanyuan Shao</cp:lastModifiedBy>
  <cp:revision>4</cp:revision>
  <dcterms:created xsi:type="dcterms:W3CDTF">2024-12-04T05:18:00Z</dcterms:created>
  <dcterms:modified xsi:type="dcterms:W3CDTF">2024-12-04T07:04:00Z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53D8061F556B446A90D8B2DBA9EA7D9E_13</vt:lpwstr>
  </property>
</Properties>
</file>